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6A8DD" w14:textId="7010BC6B" w:rsidR="008A3737" w:rsidRDefault="008A3737">
      <w:pPr>
        <w:rPr>
          <w:b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3009C6D3" wp14:editId="69795DCF">
            <wp:extent cx="5943600" cy="2106295"/>
            <wp:effectExtent l="0" t="0" r="0" b="8255"/>
            <wp:docPr id="1" name="Picture 1" descr="U:\Logos\legislative review 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:\Logos\legislative review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14491" w14:textId="71CC5391" w:rsidR="00523AA2" w:rsidRPr="000F54D1" w:rsidRDefault="00FB7C3A" w:rsidP="000F54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</w:t>
      </w:r>
      <w:r w:rsidR="00364ED1">
        <w:rPr>
          <w:rFonts w:ascii="Arial" w:hAnsi="Arial" w:cs="Arial"/>
          <w:b/>
          <w:sz w:val="24"/>
          <w:szCs w:val="24"/>
        </w:rPr>
        <w:t xml:space="preserve"> 18</w:t>
      </w:r>
      <w:r w:rsidR="008A3737" w:rsidRPr="003C3C6A">
        <w:rPr>
          <w:rFonts w:ascii="Arial" w:hAnsi="Arial" w:cs="Arial"/>
          <w:b/>
          <w:sz w:val="24"/>
          <w:szCs w:val="24"/>
        </w:rPr>
        <w:t>, 2019 REPORT #</w:t>
      </w:r>
      <w:r w:rsidR="007372F8">
        <w:rPr>
          <w:rFonts w:ascii="Arial" w:hAnsi="Arial" w:cs="Arial"/>
          <w:b/>
          <w:sz w:val="24"/>
          <w:szCs w:val="24"/>
        </w:rPr>
        <w:t>1</w:t>
      </w:r>
      <w:r w:rsidR="00364ED1">
        <w:rPr>
          <w:rFonts w:ascii="Arial" w:hAnsi="Arial" w:cs="Arial"/>
          <w:b/>
          <w:sz w:val="24"/>
          <w:szCs w:val="24"/>
        </w:rPr>
        <w:t>3</w:t>
      </w:r>
    </w:p>
    <w:p w14:paraId="64BAE5AB" w14:textId="77777777" w:rsidR="00E33F44" w:rsidRPr="00F625D5" w:rsidRDefault="00E33F44" w:rsidP="007372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9F3C6C" w14:textId="19EF3531" w:rsidR="0074142C" w:rsidRDefault="00364ED1" w:rsidP="007372F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OHIO SUPREME COURT RULES IN FAVOR OF PROPERTY OWNER; A VICTORY FOR OHBA</w:t>
      </w:r>
    </w:p>
    <w:p w14:paraId="52B695F8" w14:textId="08D860A9" w:rsidR="007372F8" w:rsidRDefault="007372F8" w:rsidP="00364E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00EE49" w14:textId="0CADC32C" w:rsidR="00364ED1" w:rsidRDefault="00364ED1" w:rsidP="00364E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months of anticipation</w:t>
      </w:r>
      <w:r w:rsidR="00FB3D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B3DAE">
        <w:rPr>
          <w:rFonts w:ascii="Arial" w:hAnsi="Arial" w:cs="Arial"/>
          <w:sz w:val="24"/>
          <w:szCs w:val="24"/>
        </w:rPr>
        <w:t>awaiting</w:t>
      </w:r>
      <w:r>
        <w:rPr>
          <w:rFonts w:ascii="Arial" w:hAnsi="Arial" w:cs="Arial"/>
          <w:sz w:val="24"/>
          <w:szCs w:val="24"/>
        </w:rPr>
        <w:t xml:space="preserve"> the Ohio Supreme Court</w:t>
      </w:r>
      <w:r w:rsidR="00FB3DAE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opinion in </w:t>
      </w:r>
      <w:r w:rsidRPr="00364ED1">
        <w:rPr>
          <w:rFonts w:ascii="Arial" w:hAnsi="Arial" w:cs="Arial"/>
          <w:i/>
          <w:iCs/>
          <w:sz w:val="24"/>
          <w:szCs w:val="24"/>
        </w:rPr>
        <w:t xml:space="preserve">Gloria </w:t>
      </w:r>
      <w:proofErr w:type="spellStart"/>
      <w:r w:rsidRPr="00364ED1">
        <w:rPr>
          <w:rFonts w:ascii="Arial" w:hAnsi="Arial" w:cs="Arial"/>
          <w:i/>
          <w:iCs/>
          <w:sz w:val="24"/>
          <w:szCs w:val="24"/>
        </w:rPr>
        <w:t>Wesolowski</w:t>
      </w:r>
      <w:proofErr w:type="spellEnd"/>
      <w:r w:rsidRPr="00364ED1">
        <w:rPr>
          <w:rFonts w:ascii="Arial" w:hAnsi="Arial" w:cs="Arial"/>
          <w:i/>
          <w:iCs/>
          <w:sz w:val="24"/>
          <w:szCs w:val="24"/>
        </w:rPr>
        <w:t xml:space="preserve"> v. City of Broadview Heights Planning Commission</w:t>
      </w:r>
      <w:r>
        <w:rPr>
          <w:rFonts w:ascii="Arial" w:hAnsi="Arial" w:cs="Arial"/>
          <w:sz w:val="24"/>
          <w:szCs w:val="24"/>
        </w:rPr>
        <w:t xml:space="preserve">, </w:t>
      </w:r>
      <w:r w:rsidR="006D77A2">
        <w:rPr>
          <w:rFonts w:ascii="Arial" w:hAnsi="Arial" w:cs="Arial"/>
          <w:sz w:val="24"/>
          <w:szCs w:val="24"/>
        </w:rPr>
        <w:t>yesterday the Court announced it affirmed the court of appeals, ruling in favor of Gloria</w:t>
      </w:r>
      <w:r w:rsidR="00FB3DAE">
        <w:rPr>
          <w:rFonts w:ascii="Arial" w:hAnsi="Arial" w:cs="Arial"/>
          <w:sz w:val="24"/>
          <w:szCs w:val="24"/>
        </w:rPr>
        <w:t>, 5-2</w:t>
      </w:r>
      <w:r w:rsidR="006D77A2">
        <w:rPr>
          <w:rFonts w:ascii="Arial" w:hAnsi="Arial" w:cs="Arial"/>
          <w:sz w:val="24"/>
          <w:szCs w:val="24"/>
        </w:rPr>
        <w:t>.  As you are likely aware, this is</w:t>
      </w:r>
      <w:r>
        <w:rPr>
          <w:rFonts w:ascii="Arial" w:hAnsi="Arial" w:cs="Arial"/>
          <w:sz w:val="24"/>
          <w:szCs w:val="24"/>
        </w:rPr>
        <w:t xml:space="preserve"> the case in which OHBA filed an amicus </w:t>
      </w:r>
      <w:r w:rsidR="00FB3DAE">
        <w:rPr>
          <w:rFonts w:ascii="Arial" w:hAnsi="Arial" w:cs="Arial"/>
          <w:sz w:val="24"/>
          <w:szCs w:val="24"/>
        </w:rPr>
        <w:t xml:space="preserve">brief </w:t>
      </w:r>
      <w:r>
        <w:rPr>
          <w:rFonts w:ascii="Arial" w:hAnsi="Arial" w:cs="Arial"/>
          <w:sz w:val="24"/>
          <w:szCs w:val="24"/>
        </w:rPr>
        <w:t xml:space="preserve">and ended up presenting oral arguments in support of Gloria </w:t>
      </w:r>
      <w:proofErr w:type="spellStart"/>
      <w:r>
        <w:rPr>
          <w:rFonts w:ascii="Arial" w:hAnsi="Arial" w:cs="Arial"/>
          <w:sz w:val="24"/>
          <w:szCs w:val="24"/>
        </w:rPr>
        <w:t>Wesolowski</w:t>
      </w:r>
      <w:proofErr w:type="spellEnd"/>
      <w:r w:rsidR="006D77A2">
        <w:rPr>
          <w:rFonts w:ascii="Arial" w:hAnsi="Arial" w:cs="Arial"/>
          <w:sz w:val="24"/>
          <w:szCs w:val="24"/>
        </w:rPr>
        <w:t>.  This is not only a victory for OHBA in its first appearance before the Ohio Supreme Court, but a win for all property owners.  In a two part find the Court held 1) R.C. 711.09(C), including 30-day time limit for considering subdivision applications, applies to city planning commissions; and 2) a home rule municipality’s adoption of subdivision regulations constitutes an exercise of its police powers and the Ohio Revised Code 711.09(C) prevails over city’s subdivision regulations.</w:t>
      </w:r>
    </w:p>
    <w:p w14:paraId="012515E0" w14:textId="305AAA3F" w:rsidR="00FB3DAE" w:rsidRDefault="00FB3DAE" w:rsidP="00364E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A1064C" w14:textId="77777777" w:rsidR="00FB3DAE" w:rsidRPr="00FB3DAE" w:rsidRDefault="00FB3DAE" w:rsidP="00FB3DAE">
      <w:pPr>
        <w:spacing w:after="240"/>
        <w:rPr>
          <w:rFonts w:ascii="Arial" w:eastAsia="Times New Roman" w:hAnsi="Arial" w:cs="Arial"/>
        </w:rPr>
      </w:pPr>
      <w:r>
        <w:rPr>
          <w:rFonts w:ascii="Arial" w:hAnsi="Arial" w:cs="Arial"/>
          <w:sz w:val="24"/>
          <w:szCs w:val="24"/>
        </w:rPr>
        <w:t xml:space="preserve">A link to the full opinion can be found at the following link. </w:t>
      </w:r>
      <w:hyperlink r:id="rId6" w:history="1">
        <w:r w:rsidRPr="00FB3DAE">
          <w:rPr>
            <w:rStyle w:val="Hyperlink"/>
            <w:rFonts w:ascii="Arial" w:eastAsia="Times New Roman" w:hAnsi="Arial" w:cs="Arial"/>
          </w:rPr>
          <w:t>https://supremecourt.ohio.gov/rod/docs/pdf/0/2019/2019-ohio-3713.pdf</w:t>
        </w:r>
      </w:hyperlink>
    </w:p>
    <w:p w14:paraId="21420E00" w14:textId="4802A5BF" w:rsidR="00FB3DAE" w:rsidRPr="00FB3DAE" w:rsidRDefault="00FB3DAE" w:rsidP="00DB6FE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B3DAE">
        <w:rPr>
          <w:rFonts w:ascii="Arial" w:hAnsi="Arial" w:cs="Arial"/>
          <w:b/>
          <w:bCs/>
          <w:i/>
          <w:iCs/>
          <w:sz w:val="24"/>
          <w:szCs w:val="24"/>
        </w:rPr>
        <w:t>RESTORING GENERAL LIABILITY COVERAGE FOR DAMAGE RESULTING FROM FAULTY WORK OF A SUBCONTRACTOR</w:t>
      </w:r>
    </w:p>
    <w:p w14:paraId="6CEC02C6" w14:textId="1E61151F" w:rsidR="002A74C7" w:rsidRDefault="002A74C7" w:rsidP="00B15842">
      <w:pPr>
        <w:spacing w:after="0" w:line="240" w:lineRule="auto"/>
        <w:jc w:val="both"/>
        <w:rPr>
          <w:rFonts w:ascii="Helvetica" w:eastAsia="Times New Roman" w:hAnsi="Helvetica"/>
          <w:color w:val="333333"/>
          <w:sz w:val="23"/>
          <w:szCs w:val="23"/>
        </w:rPr>
      </w:pPr>
    </w:p>
    <w:p w14:paraId="0D740774" w14:textId="53076554" w:rsidR="00FB3DAE" w:rsidRDefault="00FB3DAE" w:rsidP="00FB3D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OHBA Staff attend</w:t>
      </w:r>
      <w:r w:rsidR="00B80850">
        <w:rPr>
          <w:rFonts w:ascii="Arial" w:eastAsia="Times New Roman" w:hAnsi="Arial" w:cs="Arial"/>
          <w:color w:val="333333"/>
          <w:sz w:val="24"/>
          <w:szCs w:val="24"/>
        </w:rPr>
        <w:t>ed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a continuing legal education seminar </w:t>
      </w:r>
      <w:r w:rsidR="00CD2441">
        <w:rPr>
          <w:rFonts w:ascii="Arial" w:eastAsia="Times New Roman" w:hAnsi="Arial" w:cs="Arial"/>
          <w:color w:val="333333"/>
          <w:sz w:val="24"/>
          <w:szCs w:val="24"/>
        </w:rPr>
        <w:t>including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discussion from attorneys with key advice for restoring</w:t>
      </w:r>
      <w:r w:rsidR="0056125E">
        <w:rPr>
          <w:rFonts w:ascii="Arial" w:eastAsia="Times New Roman" w:hAnsi="Arial" w:cs="Arial"/>
          <w:color w:val="333333"/>
          <w:sz w:val="24"/>
          <w:szCs w:val="24"/>
        </w:rPr>
        <w:t xml:space="preserve"> CGL Completed Operations Hazard coverage following the recent Supreme Court ruling</w:t>
      </w:r>
      <w:r w:rsidR="00B80850">
        <w:rPr>
          <w:rFonts w:ascii="Arial" w:eastAsia="Times New Roman" w:hAnsi="Arial" w:cs="Arial"/>
          <w:color w:val="333333"/>
          <w:sz w:val="24"/>
          <w:szCs w:val="24"/>
        </w:rPr>
        <w:t xml:space="preserve"> damage from</w:t>
      </w:r>
      <w:r w:rsidR="0056125E">
        <w:rPr>
          <w:rFonts w:ascii="Arial" w:eastAsia="Times New Roman" w:hAnsi="Arial" w:cs="Arial"/>
          <w:color w:val="333333"/>
          <w:sz w:val="24"/>
          <w:szCs w:val="24"/>
        </w:rPr>
        <w:t xml:space="preserve"> faulty work</w:t>
      </w:r>
      <w:r w:rsidR="00B80850">
        <w:rPr>
          <w:rFonts w:ascii="Arial" w:eastAsia="Times New Roman" w:hAnsi="Arial" w:cs="Arial"/>
          <w:color w:val="333333"/>
          <w:sz w:val="24"/>
          <w:szCs w:val="24"/>
        </w:rPr>
        <w:t xml:space="preserve"> of subcontractor</w:t>
      </w:r>
      <w:r w:rsidR="0056125E">
        <w:rPr>
          <w:rFonts w:ascii="Arial" w:eastAsia="Times New Roman" w:hAnsi="Arial" w:cs="Arial"/>
          <w:color w:val="333333"/>
          <w:sz w:val="24"/>
          <w:szCs w:val="24"/>
        </w:rPr>
        <w:t xml:space="preserve"> is NOT an occurrence, thus NOT covered under the policy.  </w:t>
      </w:r>
      <w:r w:rsidR="00B80850">
        <w:rPr>
          <w:rFonts w:ascii="Arial" w:eastAsia="Times New Roman" w:hAnsi="Arial" w:cs="Arial"/>
          <w:color w:val="333333"/>
          <w:sz w:val="24"/>
          <w:szCs w:val="24"/>
        </w:rPr>
        <w:t xml:space="preserve">Quite simply, the advice is 1) You must ASK, 2) not all endorsements are created equal, </w:t>
      </w:r>
      <w:r w:rsidR="004A708E">
        <w:rPr>
          <w:rFonts w:ascii="Arial" w:eastAsia="Times New Roman" w:hAnsi="Arial" w:cs="Arial"/>
          <w:color w:val="333333"/>
          <w:sz w:val="24"/>
          <w:szCs w:val="24"/>
        </w:rPr>
        <w:t>those most highly recommended</w:t>
      </w:r>
      <w:r w:rsidR="00D956BF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="00B80850">
        <w:rPr>
          <w:rFonts w:ascii="Arial" w:eastAsia="Times New Roman" w:hAnsi="Arial" w:cs="Arial"/>
          <w:color w:val="333333"/>
          <w:sz w:val="24"/>
          <w:szCs w:val="24"/>
        </w:rPr>
        <w:t xml:space="preserve"> modify the definition of “occurrence” to </w:t>
      </w:r>
      <w:r w:rsidR="00D956BF">
        <w:rPr>
          <w:rFonts w:ascii="Arial" w:eastAsia="Times New Roman" w:hAnsi="Arial" w:cs="Arial"/>
          <w:color w:val="333333"/>
          <w:sz w:val="24"/>
          <w:szCs w:val="24"/>
        </w:rPr>
        <w:t xml:space="preserve">very </w:t>
      </w:r>
      <w:r w:rsidR="00B80850">
        <w:rPr>
          <w:rFonts w:ascii="Arial" w:eastAsia="Times New Roman" w:hAnsi="Arial" w:cs="Arial"/>
          <w:color w:val="333333"/>
          <w:sz w:val="24"/>
          <w:szCs w:val="24"/>
        </w:rPr>
        <w:t>specifically include damage resulting from faulty work, and 3) You must ASK.   It appears, there may only be a minimal increase in premium for these additional endorsements, but it is crucial you confirm the coverage in included in your policy.</w:t>
      </w:r>
    </w:p>
    <w:p w14:paraId="1C1AFD44" w14:textId="77777777" w:rsidR="00B80850" w:rsidRDefault="00B80850" w:rsidP="00FB3D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10BF00D" w14:textId="6298D367" w:rsidR="00B80850" w:rsidRDefault="00B80850" w:rsidP="00FB3D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Please feel free to contact OHBA with any questions or concerns. </w:t>
      </w:r>
    </w:p>
    <w:p w14:paraId="1BF2FEF2" w14:textId="77777777" w:rsidR="00B80850" w:rsidRPr="00FB3DAE" w:rsidRDefault="00B80850" w:rsidP="00FB3D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52F602A" w14:textId="77777777" w:rsidR="00C22325" w:rsidRPr="00C22325" w:rsidRDefault="00C22325" w:rsidP="00BC1ABD">
      <w:pPr>
        <w:pStyle w:val="NormalWeb"/>
        <w:spacing w:after="0" w:line="240" w:lineRule="auto"/>
        <w:rPr>
          <w:rFonts w:ascii="Helvetica" w:eastAsia="Times New Roman" w:hAnsi="Helvetica"/>
          <w:color w:val="333333"/>
          <w:sz w:val="23"/>
          <w:szCs w:val="23"/>
        </w:rPr>
      </w:pPr>
    </w:p>
    <w:p w14:paraId="644258A5" w14:textId="5D8DDCC9" w:rsidR="00E75D5A" w:rsidRDefault="00011BCD" w:rsidP="00BC1ABD">
      <w:pPr>
        <w:pStyle w:val="NormalWeb"/>
        <w:spacing w:after="0" w:line="240" w:lineRule="auto"/>
        <w:jc w:val="center"/>
        <w:rPr>
          <w:rFonts w:ascii="Helvetica" w:eastAsia="Times New Roman" w:hAnsi="Helvetica"/>
          <w:b/>
          <w:bCs/>
          <w:i/>
          <w:iCs/>
          <w:color w:val="333333"/>
          <w:sz w:val="23"/>
          <w:szCs w:val="23"/>
        </w:rPr>
      </w:pPr>
      <w:r>
        <w:rPr>
          <w:rFonts w:ascii="Helvetica" w:eastAsia="Times New Roman" w:hAnsi="Helvetica"/>
          <w:b/>
          <w:bCs/>
          <w:i/>
          <w:iCs/>
          <w:color w:val="333333"/>
          <w:sz w:val="23"/>
          <w:szCs w:val="23"/>
        </w:rPr>
        <w:t>OHBA FALL BOARD OF TRUSTEES MEETING</w:t>
      </w:r>
    </w:p>
    <w:p w14:paraId="5DCAD7E0" w14:textId="49C891AE" w:rsidR="00BC1ABD" w:rsidRDefault="00BC1ABD" w:rsidP="00BC1ABD">
      <w:pPr>
        <w:pStyle w:val="NormalWeb"/>
        <w:spacing w:after="0" w:line="240" w:lineRule="auto"/>
        <w:jc w:val="center"/>
        <w:rPr>
          <w:rFonts w:ascii="Helvetica" w:eastAsia="Times New Roman" w:hAnsi="Helvetica"/>
          <w:b/>
          <w:bCs/>
          <w:i/>
          <w:iCs/>
          <w:color w:val="333333"/>
          <w:sz w:val="23"/>
          <w:szCs w:val="23"/>
        </w:rPr>
      </w:pPr>
    </w:p>
    <w:p w14:paraId="2E8989DE" w14:textId="47FD27E4" w:rsidR="00BC1ABD" w:rsidRPr="00BC1ABD" w:rsidRDefault="00011BCD" w:rsidP="00BC1ABD">
      <w:pPr>
        <w:pStyle w:val="NormalWeb"/>
        <w:spacing w:after="0" w:line="240" w:lineRule="auto"/>
        <w:rPr>
          <w:rFonts w:ascii="Helvetica" w:eastAsia="Times New Roman" w:hAnsi="Helvetica"/>
          <w:color w:val="333333"/>
          <w:sz w:val="23"/>
          <w:szCs w:val="23"/>
        </w:rPr>
      </w:pPr>
      <w:r>
        <w:rPr>
          <w:rFonts w:ascii="Helvetica" w:eastAsia="Times New Roman" w:hAnsi="Helvetica"/>
          <w:color w:val="333333"/>
          <w:sz w:val="23"/>
          <w:szCs w:val="23"/>
        </w:rPr>
        <w:t xml:space="preserve">Information has been emailed for OHBA’s Fall Board of Trustees meeting on November 12, 2019.  The meeting will take place at the Hilton Easton in Columbus.  Room cut-off date is </w:t>
      </w:r>
      <w:r w:rsidRPr="00011BCD">
        <w:rPr>
          <w:rFonts w:ascii="Helvetica" w:eastAsia="Times New Roman" w:hAnsi="Helvetica"/>
          <w:b/>
          <w:bCs/>
          <w:color w:val="333333"/>
          <w:sz w:val="23"/>
          <w:szCs w:val="23"/>
        </w:rPr>
        <w:t>Oct. 3</w:t>
      </w:r>
      <w:r w:rsidRPr="00011BCD">
        <w:rPr>
          <w:rFonts w:ascii="Helvetica" w:eastAsia="Times New Roman" w:hAnsi="Helvetica"/>
          <w:b/>
          <w:bCs/>
          <w:color w:val="333333"/>
          <w:sz w:val="23"/>
          <w:szCs w:val="23"/>
          <w:vertAlign w:val="superscript"/>
        </w:rPr>
        <w:t>rd</w:t>
      </w:r>
      <w:r w:rsidRPr="00011BCD">
        <w:rPr>
          <w:rFonts w:ascii="Helvetica" w:eastAsia="Times New Roman" w:hAnsi="Helvetica"/>
          <w:b/>
          <w:bCs/>
          <w:color w:val="333333"/>
          <w:sz w:val="23"/>
          <w:szCs w:val="23"/>
        </w:rPr>
        <w:t>.</w:t>
      </w:r>
      <w:r>
        <w:rPr>
          <w:rFonts w:ascii="Helvetica" w:eastAsia="Times New Roman" w:hAnsi="Helvetica"/>
          <w:color w:val="333333"/>
          <w:sz w:val="23"/>
          <w:szCs w:val="23"/>
        </w:rPr>
        <w:t xml:space="preserve"> </w:t>
      </w:r>
    </w:p>
    <w:p w14:paraId="62A30D58" w14:textId="7F16EF21" w:rsidR="00811BA5" w:rsidRPr="00811BA5" w:rsidRDefault="00E61362" w:rsidP="00BC1ABD">
      <w:pPr>
        <w:pStyle w:val="NormalWeb"/>
        <w:spacing w:after="0" w:line="240" w:lineRule="auto"/>
        <w:rPr>
          <w:rFonts w:ascii="Helvetica" w:eastAsia="Times New Roman" w:hAnsi="Helvetica"/>
          <w:color w:val="333333"/>
          <w:sz w:val="23"/>
          <w:szCs w:val="23"/>
        </w:rPr>
      </w:pPr>
      <w:r>
        <w:rPr>
          <w:rFonts w:ascii="Helvetica" w:eastAsia="Times New Roman" w:hAnsi="Helvetica"/>
          <w:color w:val="333333"/>
          <w:sz w:val="23"/>
          <w:szCs w:val="23"/>
        </w:rPr>
        <w:t xml:space="preserve"> </w:t>
      </w:r>
    </w:p>
    <w:p w14:paraId="2D9FA767" w14:textId="13497531" w:rsidR="008771F0" w:rsidRDefault="00890CF7" w:rsidP="008A0A4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BEST OF OHIO</w:t>
      </w:r>
    </w:p>
    <w:p w14:paraId="04219B91" w14:textId="1859B716" w:rsidR="00890CF7" w:rsidRDefault="00890CF7" w:rsidP="008A0A4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4D17D51" w14:textId="6AF54032" w:rsidR="00890CF7" w:rsidRPr="00890CF7" w:rsidRDefault="00011BCD" w:rsidP="00890C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 is running out to register for Best of Ohio awards program.  All registrations need to be in by </w:t>
      </w:r>
      <w:r w:rsidRPr="00011BCD">
        <w:rPr>
          <w:rFonts w:ascii="Arial" w:hAnsi="Arial" w:cs="Arial"/>
          <w:b/>
          <w:bCs/>
          <w:sz w:val="24"/>
          <w:szCs w:val="24"/>
        </w:rPr>
        <w:t>Oct. 1</w:t>
      </w:r>
      <w:r w:rsidRPr="00011BCD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.</w:t>
      </w:r>
      <w:r w:rsidR="00890CF7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890CF7">
        <w:rPr>
          <w:rFonts w:ascii="Arial" w:hAnsi="Arial" w:cs="Arial"/>
          <w:sz w:val="24"/>
          <w:szCs w:val="24"/>
        </w:rPr>
        <w:t>Registration</w:t>
      </w:r>
      <w:proofErr w:type="gramEnd"/>
      <w:r w:rsidR="00890CF7">
        <w:rPr>
          <w:rFonts w:ascii="Arial" w:hAnsi="Arial" w:cs="Arial"/>
          <w:sz w:val="24"/>
          <w:szCs w:val="24"/>
        </w:rPr>
        <w:t xml:space="preserve"> information has been emailed out.  If you need information, please contact OHBA at build@ohiohba.com.</w:t>
      </w:r>
    </w:p>
    <w:p w14:paraId="711796CD" w14:textId="77777777" w:rsidR="008771F0" w:rsidRDefault="008771F0" w:rsidP="00BC1ABD">
      <w:pPr>
        <w:spacing w:after="0" w:line="240" w:lineRule="auto"/>
      </w:pPr>
    </w:p>
    <w:bookmarkEnd w:id="0"/>
    <w:p w14:paraId="5011FFD1" w14:textId="77777777" w:rsidR="000F54D1" w:rsidRPr="000F54D1" w:rsidRDefault="000F54D1" w:rsidP="00BC1ABD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sectPr w:rsidR="000F54D1" w:rsidRPr="000F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24E1B"/>
    <w:multiLevelType w:val="hybridMultilevel"/>
    <w:tmpl w:val="538C8C66"/>
    <w:lvl w:ilvl="0" w:tplc="4B1CFA7E">
      <w:start w:val="3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E464838"/>
    <w:multiLevelType w:val="hybridMultilevel"/>
    <w:tmpl w:val="5164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7D"/>
    <w:rsid w:val="00001C3E"/>
    <w:rsid w:val="00011BCD"/>
    <w:rsid w:val="000138E0"/>
    <w:rsid w:val="00041950"/>
    <w:rsid w:val="000C5038"/>
    <w:rsid w:val="000F322E"/>
    <w:rsid w:val="000F54D1"/>
    <w:rsid w:val="00142453"/>
    <w:rsid w:val="001618A0"/>
    <w:rsid w:val="00197648"/>
    <w:rsid w:val="001A00C5"/>
    <w:rsid w:val="001A7AE3"/>
    <w:rsid w:val="001F6C7D"/>
    <w:rsid w:val="00212670"/>
    <w:rsid w:val="00226C4E"/>
    <w:rsid w:val="002446CF"/>
    <w:rsid w:val="00266212"/>
    <w:rsid w:val="0027397F"/>
    <w:rsid w:val="00276A71"/>
    <w:rsid w:val="002A74C7"/>
    <w:rsid w:val="002C71C1"/>
    <w:rsid w:val="002D1758"/>
    <w:rsid w:val="002D21E7"/>
    <w:rsid w:val="002F13FF"/>
    <w:rsid w:val="003509C5"/>
    <w:rsid w:val="00364ED1"/>
    <w:rsid w:val="003950D5"/>
    <w:rsid w:val="003A411C"/>
    <w:rsid w:val="003C3C6A"/>
    <w:rsid w:val="003D1AD9"/>
    <w:rsid w:val="003F6153"/>
    <w:rsid w:val="003F794C"/>
    <w:rsid w:val="0041533E"/>
    <w:rsid w:val="004333EA"/>
    <w:rsid w:val="004A708E"/>
    <w:rsid w:val="00523AA2"/>
    <w:rsid w:val="0056125E"/>
    <w:rsid w:val="00575423"/>
    <w:rsid w:val="005D2CA4"/>
    <w:rsid w:val="00634074"/>
    <w:rsid w:val="0064161D"/>
    <w:rsid w:val="00695FCF"/>
    <w:rsid w:val="006A0FC1"/>
    <w:rsid w:val="006A52EF"/>
    <w:rsid w:val="006C5F8A"/>
    <w:rsid w:val="006C7493"/>
    <w:rsid w:val="006D031A"/>
    <w:rsid w:val="006D77A2"/>
    <w:rsid w:val="006E4973"/>
    <w:rsid w:val="007372F8"/>
    <w:rsid w:val="0074142C"/>
    <w:rsid w:val="00795DF2"/>
    <w:rsid w:val="007B13FE"/>
    <w:rsid w:val="007C11F8"/>
    <w:rsid w:val="007C59B5"/>
    <w:rsid w:val="007D7550"/>
    <w:rsid w:val="00811BA5"/>
    <w:rsid w:val="00822A23"/>
    <w:rsid w:val="00831348"/>
    <w:rsid w:val="0083583C"/>
    <w:rsid w:val="00856FEC"/>
    <w:rsid w:val="008771F0"/>
    <w:rsid w:val="00890CF7"/>
    <w:rsid w:val="008A0A4E"/>
    <w:rsid w:val="008A3737"/>
    <w:rsid w:val="008A5BB7"/>
    <w:rsid w:val="008B1EB7"/>
    <w:rsid w:val="009576D2"/>
    <w:rsid w:val="009929EF"/>
    <w:rsid w:val="009B7661"/>
    <w:rsid w:val="009D1F8F"/>
    <w:rsid w:val="00A04718"/>
    <w:rsid w:val="00A64147"/>
    <w:rsid w:val="00A8489C"/>
    <w:rsid w:val="00AC7F01"/>
    <w:rsid w:val="00AE56C7"/>
    <w:rsid w:val="00B059C4"/>
    <w:rsid w:val="00B15842"/>
    <w:rsid w:val="00B34929"/>
    <w:rsid w:val="00B36EFF"/>
    <w:rsid w:val="00B55437"/>
    <w:rsid w:val="00B554EC"/>
    <w:rsid w:val="00B80850"/>
    <w:rsid w:val="00BA1FCD"/>
    <w:rsid w:val="00BB407D"/>
    <w:rsid w:val="00BC1ABD"/>
    <w:rsid w:val="00BD055F"/>
    <w:rsid w:val="00C22325"/>
    <w:rsid w:val="00C7615A"/>
    <w:rsid w:val="00C76DF1"/>
    <w:rsid w:val="00C9214C"/>
    <w:rsid w:val="00CD2441"/>
    <w:rsid w:val="00D31C3E"/>
    <w:rsid w:val="00D67E58"/>
    <w:rsid w:val="00D956BF"/>
    <w:rsid w:val="00DB6368"/>
    <w:rsid w:val="00DB6FEE"/>
    <w:rsid w:val="00DD0118"/>
    <w:rsid w:val="00DD6D1C"/>
    <w:rsid w:val="00E04F85"/>
    <w:rsid w:val="00E10EF2"/>
    <w:rsid w:val="00E16E9D"/>
    <w:rsid w:val="00E33F44"/>
    <w:rsid w:val="00E37A46"/>
    <w:rsid w:val="00E50161"/>
    <w:rsid w:val="00E61362"/>
    <w:rsid w:val="00E75D5A"/>
    <w:rsid w:val="00ED108E"/>
    <w:rsid w:val="00ED69A1"/>
    <w:rsid w:val="00F56DA9"/>
    <w:rsid w:val="00F625D5"/>
    <w:rsid w:val="00F80150"/>
    <w:rsid w:val="00F90994"/>
    <w:rsid w:val="00FB1EC5"/>
    <w:rsid w:val="00FB3DAE"/>
    <w:rsid w:val="00FB7C3A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F53E"/>
  <w15:chartTrackingRefBased/>
  <w15:docId w15:val="{7B256F3E-03F7-4140-A2A0-0CE87F04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13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9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1841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D1A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14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D031A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1362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remecourt.ohio.gov/rod/docs/pdf/0/2019/2019-ohio-3713.pdf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Squillace</dc:creator>
  <cp:keywords/>
  <dc:description/>
  <cp:lastModifiedBy>Mardy</cp:lastModifiedBy>
  <cp:revision>8</cp:revision>
  <cp:lastPrinted>2019-07-18T15:11:00Z</cp:lastPrinted>
  <dcterms:created xsi:type="dcterms:W3CDTF">2019-09-18T14:17:00Z</dcterms:created>
  <dcterms:modified xsi:type="dcterms:W3CDTF">2019-09-18T17:39:00Z</dcterms:modified>
</cp:coreProperties>
</file>