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F47D" w14:textId="0496810C" w:rsidR="00062B12" w:rsidRDefault="00062B12" w:rsidP="00062B12">
      <w:pPr>
        <w:jc w:val="center"/>
        <w:rPr>
          <w:b/>
          <w:bCs/>
          <w:sz w:val="32"/>
          <w:szCs w:val="32"/>
        </w:rPr>
      </w:pPr>
      <w:r w:rsidRPr="00CD3AD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E151F9" wp14:editId="355136E8">
            <wp:extent cx="5943600" cy="2106295"/>
            <wp:effectExtent l="0" t="0" r="0" b="8255"/>
            <wp:docPr id="1" name="Picture 1" descr="U:\Logos\legislative review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Logos\legislative review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271E" w14:textId="073E885F" w:rsidR="00062B12" w:rsidRDefault="000C6873" w:rsidP="00062B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2</w:t>
      </w:r>
      <w:r w:rsidR="00062B12" w:rsidRPr="00062B12">
        <w:rPr>
          <w:rFonts w:ascii="Arial" w:hAnsi="Arial" w:cs="Arial"/>
          <w:b/>
          <w:bCs/>
          <w:sz w:val="24"/>
          <w:szCs w:val="24"/>
        </w:rPr>
        <w:t>, 2022 REPORT #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DE03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BC181E" w14:textId="08A331B5" w:rsidR="000C6873" w:rsidRDefault="000C6873" w:rsidP="000C6873">
      <w:pPr>
        <w:pStyle w:val="NormalWeb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NEIGHBORHOOD DEVELOPMENT AREA PROPERTY TAX LEGISLATION INTRODUCED IN THE SENATE</w:t>
      </w:r>
    </w:p>
    <w:p w14:paraId="59E28039" w14:textId="6ACA0320" w:rsidR="000C6873" w:rsidRPr="000C6873" w:rsidRDefault="000C6873" w:rsidP="000C6873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hyperlink r:id="rId9" w:history="1">
        <w:r w:rsidRPr="000C6873">
          <w:rPr>
            <w:rFonts w:ascii="Arial" w:eastAsia="Times New Roman" w:hAnsi="Arial" w:cs="Arial"/>
            <w:b/>
            <w:bCs/>
            <w:color w:val="1F5F8E"/>
            <w:sz w:val="24"/>
            <w:szCs w:val="24"/>
            <w:u w:val="single"/>
          </w:rPr>
          <w:t>SB 329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r w:rsidRPr="000C6873">
        <w:rPr>
          <w:rFonts w:ascii="Arial" w:eastAsia="Times New Roman" w:hAnsi="Arial" w:cs="Arial"/>
          <w:b/>
          <w:bCs/>
          <w:color w:val="212529"/>
          <w:sz w:val="24"/>
          <w:szCs w:val="24"/>
        </w:rPr>
        <w:t>Property Tax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hyperlink r:id="rId10" w:history="1">
        <w:proofErr w:type="spellStart"/>
        <w:r w:rsidRPr="000C6873">
          <w:rPr>
            <w:rFonts w:ascii="Arial" w:eastAsia="Times New Roman" w:hAnsi="Arial" w:cs="Arial"/>
            <w:b/>
            <w:bCs/>
            <w:color w:val="1F5F8E"/>
            <w:sz w:val="24"/>
            <w:szCs w:val="24"/>
            <w:u w:val="single"/>
          </w:rPr>
          <w:t>Schuring</w:t>
        </w:r>
        <w:proofErr w:type="spellEnd"/>
        <w:r w:rsidRPr="000C6873">
          <w:rPr>
            <w:rFonts w:ascii="Arial" w:eastAsia="Times New Roman" w:hAnsi="Arial" w:cs="Arial"/>
            <w:b/>
            <w:bCs/>
            <w:color w:val="1F5F8E"/>
            <w:sz w:val="24"/>
            <w:szCs w:val="24"/>
            <w:u w:val="single"/>
          </w:rPr>
          <w:t>, K.</w:t>
        </w:r>
      </w:hyperlink>
    </w:p>
    <w:p w14:paraId="4903C2C4" w14:textId="18AFD64A" w:rsidR="000C6873" w:rsidRDefault="000C6873" w:rsidP="000C687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Senator </w:t>
      </w:r>
      <w:proofErr w:type="spellStart"/>
      <w:r>
        <w:rPr>
          <w:rFonts w:ascii="Arial" w:hAnsi="Arial" w:cs="Arial"/>
        </w:rPr>
        <w:t>Schuring</w:t>
      </w:r>
      <w:proofErr w:type="spellEnd"/>
      <w:r>
        <w:rPr>
          <w:rFonts w:ascii="Arial" w:hAnsi="Arial" w:cs="Arial"/>
        </w:rPr>
        <w:t xml:space="preserve"> introduced SB 329 giving local government the ability to create neighborhood development areas.  </w:t>
      </w:r>
      <w:r w:rsidR="00A83E27">
        <w:rPr>
          <w:rFonts w:ascii="Arial" w:hAnsi="Arial" w:cs="Arial"/>
        </w:rPr>
        <w:t xml:space="preserve">The bill would </w:t>
      </w:r>
      <w:r w:rsidR="00A83E27" w:rsidRPr="00A83E27">
        <w:rPr>
          <w:rFonts w:ascii="Arial" w:hAnsi="Arial" w:cs="Arial"/>
        </w:rPr>
        <w:t>authorize certain subdivisions to designate areas within which certain residential property is wholly or partially exempted from property taxation</w:t>
      </w:r>
      <w:r w:rsidR="00A83E27">
        <w:t>.</w:t>
      </w:r>
      <w:r w:rsidR="00A83E27">
        <w:t xml:space="preserve"> </w:t>
      </w:r>
      <w:r w:rsidR="00F90DFD">
        <w:t xml:space="preserve"> </w:t>
      </w:r>
      <w:r w:rsidR="00F90DFD" w:rsidRPr="00F90DFD">
        <w:rPr>
          <w:rFonts w:ascii="Arial" w:hAnsi="Arial" w:cs="Arial"/>
        </w:rPr>
        <w:t>The percentage of valuation that will be exempt from taxation under this section, as determined by the legislative authority or board of trustees, shall not exceed seventy-five per cent of assessed valuation unless the legislative authority or board of trustees negotiates a mutually acceptable agreement with the board of education of each school district within which parcels in the area are located</w:t>
      </w:r>
      <w:r w:rsidR="00F90DFD">
        <w:t>.</w:t>
      </w:r>
      <w:r w:rsidR="00F90DFD">
        <w:t xml:space="preserve"> </w:t>
      </w:r>
      <w:r w:rsidR="00F90DFD">
        <w:t xml:space="preserve"> </w:t>
      </w:r>
      <w:r w:rsidR="008805FE">
        <w:rPr>
          <w:rFonts w:ascii="Arial" w:hAnsi="Arial" w:cs="Arial"/>
        </w:rPr>
        <w:t xml:space="preserve">SB 329 can be found at the following link: </w:t>
      </w:r>
    </w:p>
    <w:p w14:paraId="38D1C4A8" w14:textId="2CBC8211" w:rsidR="008805FE" w:rsidRPr="008805FE" w:rsidRDefault="008805FE" w:rsidP="000C6873">
      <w:pPr>
        <w:pStyle w:val="NormalWeb"/>
        <w:jc w:val="both"/>
        <w:rPr>
          <w:rFonts w:ascii="Arial" w:hAnsi="Arial" w:cs="Arial"/>
        </w:rPr>
      </w:pPr>
      <w:hyperlink r:id="rId11" w:history="1">
        <w:r w:rsidRPr="00373892">
          <w:rPr>
            <w:rStyle w:val="Hyperlink"/>
            <w:rFonts w:ascii="Arial" w:hAnsi="Arial" w:cs="Arial"/>
          </w:rPr>
          <w:t>https://search-prod.lis.state.oh.us/solarapi/v1/general_assembly_134/bills/sb329/IN/00/sb329_00_IN?format=pdf</w:t>
        </w:r>
      </w:hyperlink>
    </w:p>
    <w:p w14:paraId="000F34B9" w14:textId="71F11C72" w:rsidR="002D2DD5" w:rsidRDefault="00BE4F53" w:rsidP="00657C4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feel free to contact OHBA with any questions or concerns. </w:t>
      </w:r>
    </w:p>
    <w:p w14:paraId="49DD39D3" w14:textId="4AABF8F4" w:rsidR="009D04E2" w:rsidRDefault="009D04E2" w:rsidP="009D04E2">
      <w:pPr>
        <w:pStyle w:val="NormalWeb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OHBA OFFICER RESPONDS TO ARTICLE ON HB 175</w:t>
      </w:r>
    </w:p>
    <w:p w14:paraId="6FD242CD" w14:textId="283AB898" w:rsidR="009D04E2" w:rsidRPr="009D04E2" w:rsidRDefault="009D04E2" w:rsidP="000D30A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have seen the Columbus Dispatch article resulting from the enactment of HB 175 Ephemeral Streams, questioning the </w:t>
      </w:r>
      <w:r w:rsidR="00375DC8">
        <w:rPr>
          <w:rFonts w:ascii="Arial" w:hAnsi="Arial" w:cs="Arial"/>
        </w:rPr>
        <w:t>Governor’s signature</w:t>
      </w:r>
      <w:r>
        <w:rPr>
          <w:rFonts w:ascii="Arial" w:hAnsi="Arial" w:cs="Arial"/>
        </w:rPr>
        <w:t>.</w:t>
      </w:r>
      <w:r w:rsidR="00375DC8">
        <w:rPr>
          <w:rFonts w:ascii="Arial" w:hAnsi="Arial" w:cs="Arial"/>
        </w:rPr>
        <w:t xml:space="preserve">  If not, the article has been attached for review.  OHBA</w:t>
      </w:r>
      <w:r>
        <w:rPr>
          <w:rFonts w:ascii="Arial" w:hAnsi="Arial" w:cs="Arial"/>
        </w:rPr>
        <w:t xml:space="preserve"> </w:t>
      </w:r>
      <w:r w:rsidR="00375DC8">
        <w:rPr>
          <w:rFonts w:ascii="Arial" w:hAnsi="Arial" w:cs="Arial"/>
        </w:rPr>
        <w:t xml:space="preserve">Vice President, Richard Bancroft, quickly responded to Mr. Decker, the article’s author, with a </w:t>
      </w:r>
      <w:r w:rsidR="00641CC6">
        <w:rPr>
          <w:rFonts w:ascii="Arial" w:hAnsi="Arial" w:cs="Arial"/>
        </w:rPr>
        <w:t>fact-based</w:t>
      </w:r>
      <w:r w:rsidR="00375DC8">
        <w:rPr>
          <w:rFonts w:ascii="Arial" w:hAnsi="Arial" w:cs="Arial"/>
        </w:rPr>
        <w:t xml:space="preserve"> letter fully supporting the passage of HB 175</w:t>
      </w:r>
      <w:r w:rsidR="00641CC6">
        <w:rPr>
          <w:rFonts w:ascii="Arial" w:hAnsi="Arial" w:cs="Arial"/>
        </w:rPr>
        <w:t>, laying out its real impact on housing affordability in Ohio</w:t>
      </w:r>
      <w:r w:rsidR="00375DC8">
        <w:rPr>
          <w:rFonts w:ascii="Arial" w:hAnsi="Arial" w:cs="Arial"/>
        </w:rPr>
        <w:t xml:space="preserve">.  </w:t>
      </w:r>
      <w:r w:rsidR="00641CC6">
        <w:rPr>
          <w:rFonts w:ascii="Arial" w:hAnsi="Arial" w:cs="Arial"/>
        </w:rPr>
        <w:t xml:space="preserve">Mr. Bancroft goes on to point out that </w:t>
      </w:r>
      <w:r w:rsidR="00641CC6" w:rsidRPr="00641CC6">
        <w:rPr>
          <w:rFonts w:ascii="Arial" w:hAnsi="Arial" w:cs="Arial"/>
        </w:rPr>
        <w:t>there are rational, sensible approaches to the issue</w:t>
      </w:r>
      <w:r w:rsidR="00641CC6">
        <w:rPr>
          <w:rFonts w:ascii="Arial" w:hAnsi="Arial" w:cs="Arial"/>
        </w:rPr>
        <w:t>, and HB 175 is a piece of th</w:t>
      </w:r>
      <w:r w:rsidR="000D30A6">
        <w:rPr>
          <w:rFonts w:ascii="Arial" w:hAnsi="Arial" w:cs="Arial"/>
        </w:rPr>
        <w:t>e</w:t>
      </w:r>
      <w:r w:rsidR="00641CC6">
        <w:rPr>
          <w:rFonts w:ascii="Arial" w:hAnsi="Arial" w:cs="Arial"/>
        </w:rPr>
        <w:t xml:space="preserve"> approach in addressing the housing affordability crisis</w:t>
      </w:r>
      <w:r w:rsidR="00641CC6" w:rsidRPr="00641CC6">
        <w:rPr>
          <w:rFonts w:ascii="Arial" w:hAnsi="Arial" w:cs="Arial"/>
        </w:rPr>
        <w:t>.</w:t>
      </w:r>
      <w:r w:rsidR="00641CC6">
        <w:rPr>
          <w:rFonts w:ascii="Arial" w:hAnsi="Arial" w:cs="Arial"/>
        </w:rPr>
        <w:t xml:space="preserve">  Both the article and letter in response have been attached for you review. </w:t>
      </w:r>
    </w:p>
    <w:p w14:paraId="2D01E2BE" w14:textId="3C69ADF8" w:rsidR="00D424BE" w:rsidRDefault="002D2DD5" w:rsidP="002D2DD5">
      <w:pPr>
        <w:pStyle w:val="NormalWeb"/>
        <w:jc w:val="center"/>
        <w:rPr>
          <w:rFonts w:ascii="Arial" w:hAnsi="Arial" w:cs="Arial"/>
          <w:b/>
          <w:bCs/>
          <w:i/>
          <w:iCs/>
        </w:rPr>
      </w:pPr>
      <w:r w:rsidRPr="002D2DD5">
        <w:rPr>
          <w:rFonts w:ascii="Arial" w:hAnsi="Arial" w:cs="Arial"/>
          <w:b/>
          <w:bCs/>
          <w:i/>
          <w:iCs/>
        </w:rPr>
        <w:lastRenderedPageBreak/>
        <w:t>OHBA INVOLVED IN RENT CONTROL DISCUSSIONS</w:t>
      </w:r>
    </w:p>
    <w:p w14:paraId="3D43DFC8" w14:textId="5917BB48" w:rsidR="002D2DD5" w:rsidRPr="002D2DD5" w:rsidRDefault="002D2DD5" w:rsidP="002D2D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After coverage of a brewing</w:t>
      </w:r>
      <w:r w:rsidR="00477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citizen initiative </w:t>
      </w:r>
      <w:r w:rsidR="004770D0">
        <w:rPr>
          <w:rFonts w:ascii="Arial" w:hAnsi="Arial" w:cs="Arial"/>
        </w:rPr>
        <w:t xml:space="preserve">instituting rent controls and other landlord tenant changes in the City of Columbus, OHBA joined a number of statewide industry groups in an effort to combat rent control with a statewide rent control prohibition.  Local challenges are also being organized, but OHBA remains focused </w:t>
      </w:r>
      <w:r w:rsidR="000868E5">
        <w:rPr>
          <w:rFonts w:ascii="Arial" w:hAnsi="Arial" w:cs="Arial"/>
        </w:rPr>
        <w:t>on</w:t>
      </w:r>
      <w:r w:rsidR="004770D0">
        <w:rPr>
          <w:rFonts w:ascii="Arial" w:hAnsi="Arial" w:cs="Arial"/>
        </w:rPr>
        <w:t xml:space="preserve"> potential statewide policy changes.  OHBA will continue to work with the Ohio Realtors, Apartment Association, Columbus Partnership and others as this issue </w:t>
      </w:r>
      <w:r w:rsidR="000868E5">
        <w:rPr>
          <w:rFonts w:ascii="Arial" w:hAnsi="Arial" w:cs="Arial"/>
        </w:rPr>
        <w:t xml:space="preserve">unfolds both locally, and at the state level. </w:t>
      </w:r>
      <w:r w:rsidR="004770D0">
        <w:rPr>
          <w:rFonts w:ascii="Arial" w:hAnsi="Arial" w:cs="Arial"/>
        </w:rPr>
        <w:t xml:space="preserve"> </w:t>
      </w:r>
    </w:p>
    <w:p w14:paraId="7D00D528" w14:textId="6C7AA96E" w:rsidR="00324DB3" w:rsidRDefault="001A5FCB" w:rsidP="001A5FC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SUMMER BOARD OF TRUSTEES MEETING</w:t>
      </w:r>
    </w:p>
    <w:p w14:paraId="38C2C2D1" w14:textId="22B8AE75" w:rsidR="001A5FCB" w:rsidRDefault="001A5FCB" w:rsidP="001A5FC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0992E0" w14:textId="5CDB4362" w:rsidR="001A5FCB" w:rsidRPr="001A5FCB" w:rsidRDefault="002F3986" w:rsidP="001A5F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is the time to sign-up</w:t>
      </w:r>
      <w:r w:rsidR="001A5FCB">
        <w:rPr>
          <w:rFonts w:ascii="Arial" w:hAnsi="Arial" w:cs="Arial"/>
          <w:sz w:val="24"/>
          <w:szCs w:val="24"/>
        </w:rPr>
        <w:t xml:space="preserve"> for OHBA’s Summer Board of Trustees Meeting – June 21</w:t>
      </w:r>
      <w:r w:rsidR="001A5FCB" w:rsidRPr="001A5FCB">
        <w:rPr>
          <w:rFonts w:ascii="Arial" w:hAnsi="Arial" w:cs="Arial"/>
          <w:sz w:val="24"/>
          <w:szCs w:val="24"/>
          <w:vertAlign w:val="superscript"/>
        </w:rPr>
        <w:t>st</w:t>
      </w:r>
      <w:r w:rsidR="001A5FCB">
        <w:rPr>
          <w:rFonts w:ascii="Arial" w:hAnsi="Arial" w:cs="Arial"/>
          <w:sz w:val="24"/>
          <w:szCs w:val="24"/>
        </w:rPr>
        <w:t xml:space="preserve">.  The meeting will take place in Dublin at the </w:t>
      </w:r>
      <w:r>
        <w:rPr>
          <w:rFonts w:ascii="Arial" w:hAnsi="Arial" w:cs="Arial"/>
          <w:sz w:val="24"/>
          <w:szCs w:val="24"/>
        </w:rPr>
        <w:t>b</w:t>
      </w:r>
      <w:r w:rsidR="001A5FCB">
        <w:rPr>
          <w:rFonts w:ascii="Arial" w:hAnsi="Arial" w:cs="Arial"/>
          <w:sz w:val="24"/>
          <w:szCs w:val="24"/>
        </w:rPr>
        <w:t xml:space="preserve">rick </w:t>
      </w:r>
      <w:r>
        <w:rPr>
          <w:rFonts w:ascii="Arial" w:hAnsi="Arial" w:cs="Arial"/>
          <w:sz w:val="24"/>
          <w:szCs w:val="24"/>
        </w:rPr>
        <w:t>h</w:t>
      </w:r>
      <w:r w:rsidR="001A5FCB">
        <w:rPr>
          <w:rFonts w:ascii="Arial" w:hAnsi="Arial" w:cs="Arial"/>
          <w:sz w:val="24"/>
          <w:szCs w:val="24"/>
        </w:rPr>
        <w:t xml:space="preserve">ouse </w:t>
      </w:r>
      <w:r>
        <w:rPr>
          <w:rFonts w:ascii="Arial" w:hAnsi="Arial" w:cs="Arial"/>
          <w:sz w:val="24"/>
          <w:szCs w:val="24"/>
        </w:rPr>
        <w:t>b</w:t>
      </w:r>
      <w:r w:rsidR="001A5FCB">
        <w:rPr>
          <w:rFonts w:ascii="Arial" w:hAnsi="Arial" w:cs="Arial"/>
          <w:sz w:val="24"/>
          <w:szCs w:val="24"/>
        </w:rPr>
        <w:t xml:space="preserve">lue.  We have a nationally known economist Dr. Ted Jones as a guest speaker.  Detailed information </w:t>
      </w:r>
      <w:r>
        <w:rPr>
          <w:rFonts w:ascii="Arial" w:hAnsi="Arial" w:cs="Arial"/>
          <w:sz w:val="24"/>
          <w:szCs w:val="24"/>
        </w:rPr>
        <w:t xml:space="preserve">has been emailed.  </w:t>
      </w:r>
    </w:p>
    <w:sectPr w:rsidR="001A5FCB" w:rsidRPr="001A5F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64B5" w14:textId="77777777" w:rsidR="00CB2826" w:rsidRDefault="00CB2826" w:rsidP="00CB2826">
      <w:pPr>
        <w:spacing w:after="0" w:line="240" w:lineRule="auto"/>
      </w:pPr>
      <w:r>
        <w:separator/>
      </w:r>
    </w:p>
  </w:endnote>
  <w:endnote w:type="continuationSeparator" w:id="0">
    <w:p w14:paraId="611BE2A1" w14:textId="77777777" w:rsidR="00CB2826" w:rsidRDefault="00CB2826" w:rsidP="00CB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918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46107" w14:textId="0EE7EEA6" w:rsidR="00CB2826" w:rsidRDefault="00CB2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C4D66" w14:textId="77777777" w:rsidR="00CB2826" w:rsidRDefault="00CB2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1283" w14:textId="77777777" w:rsidR="00CB2826" w:rsidRDefault="00CB2826" w:rsidP="00CB2826">
      <w:pPr>
        <w:spacing w:after="0" w:line="240" w:lineRule="auto"/>
      </w:pPr>
      <w:r>
        <w:separator/>
      </w:r>
    </w:p>
  </w:footnote>
  <w:footnote w:type="continuationSeparator" w:id="0">
    <w:p w14:paraId="22B53C30" w14:textId="77777777" w:rsidR="00CB2826" w:rsidRDefault="00CB2826" w:rsidP="00CB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00D9C"/>
    <w:multiLevelType w:val="multilevel"/>
    <w:tmpl w:val="A68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7029B"/>
    <w:multiLevelType w:val="multilevel"/>
    <w:tmpl w:val="240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F611A"/>
    <w:multiLevelType w:val="hybridMultilevel"/>
    <w:tmpl w:val="54AE21CE"/>
    <w:lvl w:ilvl="0" w:tplc="4D24C1F2">
      <w:start w:val="1"/>
      <w:numFmt w:val="upperRoman"/>
      <w:lvlText w:val="%1."/>
      <w:lvlJc w:val="left"/>
      <w:pPr>
        <w:ind w:left="-720" w:hanging="720"/>
      </w:pPr>
      <w:rPr>
        <w:rFonts w:hint="default"/>
        <w:b/>
      </w:rPr>
    </w:lvl>
    <w:lvl w:ilvl="1" w:tplc="4C282322">
      <w:start w:val="1"/>
      <w:numFmt w:val="lowerLetter"/>
      <w:lvlText w:val="%2."/>
      <w:lvlJc w:val="left"/>
      <w:pPr>
        <w:ind w:left="-360" w:hanging="360"/>
      </w:pPr>
      <w:rPr>
        <w:b/>
        <w:i w:val="0"/>
      </w:rPr>
    </w:lvl>
    <w:lvl w:ilvl="2" w:tplc="93AA85C8">
      <w:start w:val="1"/>
      <w:numFmt w:val="lowerRoman"/>
      <w:lvlText w:val="%3."/>
      <w:lvlJc w:val="right"/>
      <w:pPr>
        <w:ind w:left="360" w:hanging="18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68E882E">
      <w:start w:val="1"/>
      <w:numFmt w:val="lowerLetter"/>
      <w:lvlText w:val="%5."/>
      <w:lvlJc w:val="left"/>
      <w:pPr>
        <w:ind w:left="18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 w16cid:durableId="721174122">
    <w:abstractNumId w:val="2"/>
  </w:num>
  <w:num w:numId="2" w16cid:durableId="386032757">
    <w:abstractNumId w:val="1"/>
  </w:num>
  <w:num w:numId="3" w16cid:durableId="1304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02"/>
    <w:rsid w:val="000304E4"/>
    <w:rsid w:val="00044FEC"/>
    <w:rsid w:val="000546CF"/>
    <w:rsid w:val="00062B12"/>
    <w:rsid w:val="000720F3"/>
    <w:rsid w:val="000868E5"/>
    <w:rsid w:val="000C6873"/>
    <w:rsid w:val="000D30A6"/>
    <w:rsid w:val="000E798C"/>
    <w:rsid w:val="001A1294"/>
    <w:rsid w:val="001A5FCB"/>
    <w:rsid w:val="00214ACF"/>
    <w:rsid w:val="00242685"/>
    <w:rsid w:val="00265B49"/>
    <w:rsid w:val="00277424"/>
    <w:rsid w:val="002D2DD5"/>
    <w:rsid w:val="002D6AED"/>
    <w:rsid w:val="002F3986"/>
    <w:rsid w:val="00324DB3"/>
    <w:rsid w:val="00375DC8"/>
    <w:rsid w:val="00427253"/>
    <w:rsid w:val="00444D82"/>
    <w:rsid w:val="00465988"/>
    <w:rsid w:val="004770D0"/>
    <w:rsid w:val="00497C6C"/>
    <w:rsid w:val="004E111F"/>
    <w:rsid w:val="00501E22"/>
    <w:rsid w:val="00545F39"/>
    <w:rsid w:val="00561026"/>
    <w:rsid w:val="0058348A"/>
    <w:rsid w:val="005D0AEA"/>
    <w:rsid w:val="005F6653"/>
    <w:rsid w:val="00626F8F"/>
    <w:rsid w:val="00636CDC"/>
    <w:rsid w:val="00641CC6"/>
    <w:rsid w:val="00657C4C"/>
    <w:rsid w:val="00674C5E"/>
    <w:rsid w:val="006B77C1"/>
    <w:rsid w:val="006C303C"/>
    <w:rsid w:val="00751041"/>
    <w:rsid w:val="00751ECA"/>
    <w:rsid w:val="00753219"/>
    <w:rsid w:val="007E2812"/>
    <w:rsid w:val="0080508B"/>
    <w:rsid w:val="00814B93"/>
    <w:rsid w:val="008805FE"/>
    <w:rsid w:val="008A1291"/>
    <w:rsid w:val="008E4A55"/>
    <w:rsid w:val="008E5BF1"/>
    <w:rsid w:val="009223CD"/>
    <w:rsid w:val="00961933"/>
    <w:rsid w:val="009C71C5"/>
    <w:rsid w:val="009D04E2"/>
    <w:rsid w:val="009E2BF9"/>
    <w:rsid w:val="00A348B3"/>
    <w:rsid w:val="00A83E27"/>
    <w:rsid w:val="00AA5508"/>
    <w:rsid w:val="00AE29CB"/>
    <w:rsid w:val="00B51C05"/>
    <w:rsid w:val="00B5416E"/>
    <w:rsid w:val="00BE4F53"/>
    <w:rsid w:val="00BF3D26"/>
    <w:rsid w:val="00BF5D02"/>
    <w:rsid w:val="00C20202"/>
    <w:rsid w:val="00C4621A"/>
    <w:rsid w:val="00C850AC"/>
    <w:rsid w:val="00CB2826"/>
    <w:rsid w:val="00CD4E35"/>
    <w:rsid w:val="00D424BE"/>
    <w:rsid w:val="00DE036E"/>
    <w:rsid w:val="00DE0665"/>
    <w:rsid w:val="00DF30DF"/>
    <w:rsid w:val="00DF34DD"/>
    <w:rsid w:val="00E033E3"/>
    <w:rsid w:val="00E22AE8"/>
    <w:rsid w:val="00E25775"/>
    <w:rsid w:val="00E43C7D"/>
    <w:rsid w:val="00EB6E55"/>
    <w:rsid w:val="00EC32CE"/>
    <w:rsid w:val="00F137B2"/>
    <w:rsid w:val="00F249EA"/>
    <w:rsid w:val="00F636F5"/>
    <w:rsid w:val="00F90DFD"/>
    <w:rsid w:val="00F91A08"/>
    <w:rsid w:val="00F93FB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4D59"/>
  <w15:chartTrackingRefBased/>
  <w15:docId w15:val="{29901873-DA1A-40C6-B4F6-AE658975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4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E4A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firmation">
    <w:name w:val="confirmation"/>
    <w:basedOn w:val="DefaultParagraphFont"/>
    <w:rsid w:val="008E4A55"/>
  </w:style>
  <w:style w:type="character" w:styleId="Strong">
    <w:name w:val="Strong"/>
    <w:basedOn w:val="DefaultParagraphFont"/>
    <w:uiPriority w:val="22"/>
    <w:qFormat/>
    <w:rsid w:val="008E4A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24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26"/>
  </w:style>
  <w:style w:type="paragraph" w:styleId="Footer">
    <w:name w:val="footer"/>
    <w:basedOn w:val="Normal"/>
    <w:link w:val="FooterChar"/>
    <w:uiPriority w:val="99"/>
    <w:unhideWhenUsed/>
    <w:rsid w:val="00CB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11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1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3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67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-prod.lis.state.oh.us/solarapi/v1/general_assembly_134/bills/sb329/IN/00/sb329_00_IN?format=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ngwer-oh.com/directories/bio.cfm?nameid=4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ngwer-oh.com/legislation/bill.cfm?billid=2021SB329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29DF-A5D7-406C-B78A-B89CC4A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Kris Klaus</cp:lastModifiedBy>
  <cp:revision>6</cp:revision>
  <cp:lastPrinted>2022-03-08T15:20:00Z</cp:lastPrinted>
  <dcterms:created xsi:type="dcterms:W3CDTF">2022-05-02T14:04:00Z</dcterms:created>
  <dcterms:modified xsi:type="dcterms:W3CDTF">2022-05-02T15:11:00Z</dcterms:modified>
</cp:coreProperties>
</file>